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34" w:rsidRDefault="003B5B86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360045</wp:posOffset>
            </wp:positionV>
            <wp:extent cx="311086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 1</w:t>
      </w:r>
    </w:p>
    <w:p w:rsidR="00B76D34" w:rsidRDefault="003B5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 приказу министерства</w:t>
      </w:r>
    </w:p>
    <w:p w:rsidR="00B76D34" w:rsidRDefault="003B5B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цифрового развития и связи</w:t>
      </w:r>
    </w:p>
    <w:p w:rsidR="00B76D34" w:rsidRDefault="003B5B86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B76D34">
        <w:tc>
          <w:tcPr>
            <w:tcW w:w="10065" w:type="dxa"/>
            <w:shd w:val="clear" w:color="auto" w:fill="auto"/>
          </w:tcPr>
          <w:p w:rsidR="00B76D34" w:rsidRDefault="003B5B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 № _________</w:t>
            </w:r>
          </w:p>
        </w:tc>
      </w:tr>
    </w:tbl>
    <w:p w:rsidR="00B76D34" w:rsidRDefault="00B76D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76D34" w:rsidRDefault="003B5B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B76D34" w:rsidRDefault="003B5B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ПРОВЕДЕНИЯ ОЦЕНКИ РИСКОВ ГОСУДАРСТВЕННЫХ УЧРЕЖДЕНИЙ НОВОСИБИРСКОЙ ОБЛАСТИ, ПОДВЕДОМСТВЕННЫХ МИНИСТЕРСТВУ ЦИФРОВОГО РАЗВИТИЯ И СВЯЗИ </w:t>
      </w: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76D34" w:rsidRDefault="00B76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Настоящий Порядок проведения оценки рисков государственных учреждений Новосибирской области, подведомственных министерству цифрового развития и связи Новосибирской области (далее – Порядок), разработан в соответствии с пунктом 9 П</w:t>
      </w:r>
      <w:r>
        <w:rPr>
          <w:rFonts w:ascii="Times New Roman" w:hAnsi="Times New Roman" w:cs="Times New Roman"/>
          <w:sz w:val="28"/>
          <w:szCs w:val="28"/>
        </w:rPr>
        <w:t>орядка осуществления областными исполнительными органами Новосибирской области контроля за деятельностью подведомственным государственных автономных учреждений Новосибирской области, государственных бюджетных учреждений Новосибирской области, государственн</w:t>
      </w:r>
      <w:r>
        <w:rPr>
          <w:rFonts w:ascii="Times New Roman" w:hAnsi="Times New Roman" w:cs="Times New Roman"/>
          <w:sz w:val="28"/>
          <w:szCs w:val="28"/>
        </w:rPr>
        <w:t>ых казенных учреждений Новосибирской области, установленного постановлением Правительства Новосибирской области от 21.03.2017 № 112-п (далее – Порядок № 112-п), в целях применения риск-ориентированного подхода при осуществлении министерством цифрового разв</w:t>
      </w:r>
      <w:r>
        <w:rPr>
          <w:rFonts w:ascii="Times New Roman" w:hAnsi="Times New Roman" w:cs="Times New Roman"/>
          <w:sz w:val="28"/>
          <w:szCs w:val="28"/>
        </w:rPr>
        <w:t>ития и связи Новосибирской области (далее-министерство) контроля за деятельностью государственных учреждений Новосибирской области, подведомственных министерству (далее – учреждения).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Порядок определяет процедуру проведения министерством оценки рисков у</w:t>
      </w:r>
      <w:r>
        <w:rPr>
          <w:rFonts w:ascii="Times New Roman" w:hAnsi="Times New Roman" w:cs="Times New Roman"/>
          <w:sz w:val="28"/>
          <w:szCs w:val="28"/>
        </w:rPr>
        <w:t>чреждений и присвоения им категории риска (высокая, средняя, низкая) для формирования годового плана проведения плановых проверок деятельности учреждений в соответствии с Порядком № 112-п (далее- План проверок).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Проведение оценки рисков учреждений и при</w:t>
      </w:r>
      <w:r>
        <w:rPr>
          <w:rFonts w:ascii="Times New Roman" w:hAnsi="Times New Roman" w:cs="Times New Roman"/>
          <w:sz w:val="28"/>
          <w:szCs w:val="28"/>
        </w:rPr>
        <w:t>своение учреждениям категории риска осуществляется должностным лицом, уполномоченным на проведение проверок деятельности учреждений в соответствии с Порядком № 112-п, до 15 сентября текущего года на основании предоставляемой структурными подразделениями ми</w:t>
      </w:r>
      <w:r>
        <w:rPr>
          <w:rFonts w:ascii="Times New Roman" w:hAnsi="Times New Roman" w:cs="Times New Roman"/>
          <w:sz w:val="28"/>
          <w:szCs w:val="28"/>
        </w:rPr>
        <w:t>нистерства информации, перечень которой предусмотрен приложением № 1 к настоящему Порядку.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Оценка рисков учреждений проводится по балльной системе исходя из критериев отнесения учреждения к определенной категории риска (далее - критерии).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Критерии, знач</w:t>
      </w:r>
      <w:r>
        <w:rPr>
          <w:rFonts w:ascii="Times New Roman" w:hAnsi="Times New Roman" w:cs="Times New Roman"/>
          <w:sz w:val="28"/>
          <w:szCs w:val="28"/>
        </w:rPr>
        <w:t>ения их показателей и количество баллов по показателям критериев предусматриваются Приложением № 2 к настоящему Порядку.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Для целей отнесения учреждения к категории риска (высокая, средняя, низкая) на основании рассчитанных значений показателей по каждом</w:t>
      </w:r>
      <w:r>
        <w:rPr>
          <w:rFonts w:ascii="Times New Roman" w:hAnsi="Times New Roman" w:cs="Times New Roman"/>
          <w:sz w:val="28"/>
          <w:szCs w:val="28"/>
        </w:rPr>
        <w:t>у критерию присваивается соответствующее количество баллов.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баллов по каждому критерию составляет итоговый балл учреждения.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На основании значения итогового балла учреждению присваивается категория риска: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категория высокого риска при итоговом </w:t>
      </w:r>
      <w:r>
        <w:rPr>
          <w:rFonts w:ascii="Times New Roman" w:hAnsi="Times New Roman" w:cs="Times New Roman"/>
          <w:sz w:val="28"/>
          <w:szCs w:val="28"/>
        </w:rPr>
        <w:t>балле учреждения от 15 и более;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категория среднего риска при итоговом балле учреждения от 6 до 14;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категория низкого риска при итоговом балле учреждения от 1 до 5.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В План проверок включаются учреждения, которым присвоена категория высокого и средн</w:t>
      </w:r>
      <w:r>
        <w:rPr>
          <w:rFonts w:ascii="Times New Roman" w:hAnsi="Times New Roman" w:cs="Times New Roman"/>
          <w:sz w:val="28"/>
          <w:szCs w:val="28"/>
        </w:rPr>
        <w:t>его риска.</w:t>
      </w:r>
    </w:p>
    <w:p w:rsidR="00B76D34" w:rsidRDefault="003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76D34">
          <w:pgSz w:w="11906" w:h="16838"/>
          <w:pgMar w:top="1134" w:right="567" w:bottom="1134" w:left="1418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 w:cs="Times New Roman"/>
          <w:sz w:val="28"/>
          <w:szCs w:val="28"/>
        </w:rPr>
        <w:t>Учреждения, которым присвоена категория низкого риска, включаются в План проверок в случае, если с момента проведения последней проверки прошло более двух лет.</w:t>
      </w:r>
    </w:p>
    <w:p w:rsidR="00B76D34" w:rsidRDefault="00B76D34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</w:p>
    <w:p w:rsidR="00B76D34" w:rsidRDefault="003B5B86">
      <w:pPr>
        <w:pStyle w:val="ConsPlusNormal"/>
        <w:ind w:firstLine="581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оценки рисков государственны</w:t>
      </w:r>
      <w:r>
        <w:rPr>
          <w:rFonts w:ascii="Times New Roman" w:hAnsi="Times New Roman" w:cs="Times New Roman"/>
          <w:sz w:val="28"/>
          <w:szCs w:val="28"/>
        </w:rPr>
        <w:t>х учреждений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области,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министерству цифрового развития и связи 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6D34" w:rsidRDefault="00B76D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6D34" w:rsidRDefault="003B5B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ПЕРЕЧЕНЬ</w:t>
      </w:r>
    </w:p>
    <w:p w:rsidR="00B76D34" w:rsidRDefault="003B5B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информации для проведения оценки рисков государственных учреждений Новосибирской области, подведомственных министерству цифрового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развития и связи Новосибирской области</w:t>
      </w:r>
    </w:p>
    <w:p w:rsidR="00B76D34" w:rsidRDefault="00B76D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f6"/>
        <w:tblW w:w="991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2269"/>
        <w:gridCol w:w="2260"/>
      </w:tblGrid>
      <w:tr w:rsidR="00B76D34">
        <w:trPr>
          <w:jc w:val="center"/>
        </w:trPr>
        <w:tc>
          <w:tcPr>
            <w:tcW w:w="703" w:type="dxa"/>
            <w:vAlign w:val="center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4678" w:type="dxa"/>
            <w:vAlign w:val="center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Исходные данные</w:t>
            </w:r>
          </w:p>
        </w:tc>
        <w:tc>
          <w:tcPr>
            <w:tcW w:w="2269" w:type="dxa"/>
            <w:vAlign w:val="center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 предоставления информации</w:t>
            </w:r>
          </w:p>
        </w:tc>
        <w:tc>
          <w:tcPr>
            <w:tcW w:w="2260" w:type="dxa"/>
            <w:vAlign w:val="center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Ответственное структурное подразделение министерства за предоставление информации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Дата проведения последней проверки учреждения</w:t>
            </w:r>
          </w:p>
        </w:tc>
        <w:tc>
          <w:tcPr>
            <w:tcW w:w="2269" w:type="dxa"/>
            <w:vMerge w:val="restart"/>
            <w:vAlign w:val="center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Ежегодно, не позднее 8 сентября</w:t>
            </w: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Уполномоченное должностное лицо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Объемы финансового обеспечения деятельности учреждений в проверяемый отчетный период</w:t>
            </w:r>
          </w:p>
        </w:tc>
        <w:tc>
          <w:tcPr>
            <w:tcW w:w="2269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 государственных программ и финансового контроля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Наличие (отсутствие) в проверяемом периоде значительных изменений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 государственных учреждений Новосибирской области, подведомственных министерству, в том числе в организационной структуре (изменение типа учреждения, реорганизация юридического лица (слияние, присоединение, разделение, выделение, преобразование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</w:t>
            </w:r>
          </w:p>
        </w:tc>
        <w:tc>
          <w:tcPr>
            <w:tcW w:w="2269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 правового, кадрового и организационного обеспечения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Значения показателей качества финансового менеджмента государственных казенных учреждений Новосибирской области, подведомственных министерству, определяемые с учетом результатов проведения мониторинга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финансового менеджмента в порядке, установленн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ом в целях реализации положений </w:t>
            </w:r>
            <w:hyperlink r:id="rId6">
              <w:r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 w:bidi="ru-RU"/>
                </w:rPr>
                <w:t>статьи 160.2-1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Бюджетного кодекса Российской Федерации</w:t>
            </w:r>
          </w:p>
        </w:tc>
        <w:tc>
          <w:tcPr>
            <w:tcW w:w="2269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Уполномоченное должностное лицо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Участие государственных учреждений Новосибирс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кой области, подведомственных министерству, в реализации национальных проектов</w:t>
            </w:r>
          </w:p>
        </w:tc>
        <w:tc>
          <w:tcPr>
            <w:tcW w:w="2269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 государственных программ и финансового контроля</w:t>
            </w:r>
          </w:p>
        </w:tc>
      </w:tr>
      <w:tr w:rsidR="00B76D34">
        <w:trPr>
          <w:jc w:val="center"/>
        </w:trPr>
        <w:tc>
          <w:tcPr>
            <w:tcW w:w="703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678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Решения о признании деятельности государственных учреждений, подведомственных министерству, удовлетворительной или неуд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овлетворительной, принятые балансовыми комиссиями по результатам анализа финансово-хозяйственной деятельности государственных учреждений Новосибирской области, за год, предшествующий формированию Плана</w:t>
            </w:r>
          </w:p>
        </w:tc>
        <w:tc>
          <w:tcPr>
            <w:tcW w:w="2269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 государственных программ и финансового контроля</w:t>
            </w:r>
          </w:p>
        </w:tc>
      </w:tr>
    </w:tbl>
    <w:p w:rsidR="00B76D34" w:rsidRDefault="00B76D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76D34" w:rsidRDefault="00B76D3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3B5B86">
      <w:pPr>
        <w:pStyle w:val="ConsPlusNormal"/>
        <w:ind w:firstLine="581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проведения оценки рисков государственных учреждений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области,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министерству цифрового развития и связи </w:t>
      </w:r>
    </w:p>
    <w:p w:rsidR="00B76D34" w:rsidRDefault="003B5B86">
      <w:pPr>
        <w:pStyle w:val="ConsPlusNormal"/>
        <w:ind w:firstLine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6D34" w:rsidRDefault="00B76D34">
      <w:pPr>
        <w:tabs>
          <w:tab w:val="left" w:pos="2835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B76D34">
      <w:pPr>
        <w:tabs>
          <w:tab w:val="left" w:pos="2835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3B5B86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</w:t>
      </w:r>
    </w:p>
    <w:p w:rsidR="00B76D34" w:rsidRDefault="003B5B86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критериев риска</w:t>
      </w:r>
    </w:p>
    <w:tbl>
      <w:tblPr>
        <w:tblStyle w:val="af6"/>
        <w:tblW w:w="9911" w:type="dxa"/>
        <w:tblLayout w:type="fixed"/>
        <w:tblLook w:val="04A0" w:firstRow="1" w:lastRow="0" w:firstColumn="1" w:lastColumn="0" w:noHBand="0" w:noVBand="1"/>
      </w:tblPr>
      <w:tblGrid>
        <w:gridCol w:w="543"/>
        <w:gridCol w:w="4130"/>
        <w:gridCol w:w="1559"/>
        <w:gridCol w:w="2552"/>
        <w:gridCol w:w="1127"/>
      </w:tblGrid>
      <w:tr w:rsidR="00B76D34">
        <w:tc>
          <w:tcPr>
            <w:tcW w:w="543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30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1559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показателя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проведения проверок учреждений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года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года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 и более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Объемы финансового обеспечения деятельности учреждений в проверяемый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период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100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и более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Наличие (отсутствие) в проверяемом периоде значительных изменений в деятельности государственных учреждений Новосибирской области, подведомственных министерству, в том числе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мочий), в том числе закрепление новых видов оказываемых услуг и выполняемых работ)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наличие/ отсутствие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изменений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изменений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Значения показателей качества финансового менеджмента государственных казенных учреждений Новосибирской области, подведомственных министерству, определяемые с учетом результатов проведения мониторинга качества финансового менеджмента в порядке, установленн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ом в целях реализации положений </w:t>
            </w:r>
            <w:hyperlink r:id="rId7">
              <w:r>
                <w:rPr>
                  <w:rStyle w:val="af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 w:bidi="ru-RU"/>
                </w:rPr>
                <w:t>статьи 160.2-1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Бюджетного кодекса Российской Федерации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рейтинговая оценка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400 до 500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300 до 400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до 300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Участие государственных учреждений Новосибирской области, подведомственных министерству, в реализации национальных проектов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D34">
        <w:tc>
          <w:tcPr>
            <w:tcW w:w="543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0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Решения о признании деятельности государственных учреждений, подведомственных министерству,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удовлетворительной или неудовлетворительной, принятые балансовыми комиссиями по результатам анализа финансово-хозяйственной деятельности государственных учреждений Новосибирской области, за год, предшествующий формированию Плана</w:t>
            </w:r>
          </w:p>
        </w:tc>
        <w:tc>
          <w:tcPr>
            <w:tcW w:w="1559" w:type="dxa"/>
            <w:vMerge w:val="restart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удовлетворительная/</w:t>
            </w:r>
          </w:p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етворительная</w:t>
            </w: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удовлетворительная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6D34">
        <w:tc>
          <w:tcPr>
            <w:tcW w:w="543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B76D34" w:rsidRDefault="00B76D34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неудовлетворительная</w:t>
            </w:r>
          </w:p>
        </w:tc>
        <w:tc>
          <w:tcPr>
            <w:tcW w:w="1127" w:type="dxa"/>
          </w:tcPr>
          <w:p w:rsidR="00B76D34" w:rsidRDefault="003B5B86">
            <w:pPr>
              <w:tabs>
                <w:tab w:val="left" w:pos="283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B76D34" w:rsidRDefault="00B76D34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34" w:rsidRDefault="003B5B86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9251950</wp:posOffset>
            </wp:positionV>
            <wp:extent cx="3251200" cy="165608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76D34">
      <w:pgSz w:w="11906" w:h="16838"/>
      <w:pgMar w:top="1134" w:right="567" w:bottom="1134" w:left="1418" w:header="0" w:footer="0" w:gutter="0"/>
      <w:cols w:space="720"/>
      <w:formProt w:val="0"/>
      <w:docGrid w:linePitch="299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34"/>
    <w:rsid w:val="003B5B86"/>
    <w:rsid w:val="00B7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8B8E0-8A4C-4945-9C83-CF012946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qFormat/>
    <w:rsid w:val="00C249D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D42299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qFormat/>
    <w:rsid w:val="00FD4D13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FD4D13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FD4D13"/>
    <w:rPr>
      <w:b/>
      <w:bCs/>
      <w:sz w:val="20"/>
      <w:szCs w:val="20"/>
    </w:rPr>
  </w:style>
  <w:style w:type="character" w:customStyle="1" w:styleId="aa">
    <w:name w:val="Основной текст с отступом Знак"/>
    <w:basedOn w:val="a0"/>
    <w:link w:val="ab"/>
    <w:uiPriority w:val="99"/>
    <w:semiHidden/>
    <w:qFormat/>
    <w:rsid w:val="006C2D51"/>
  </w:style>
  <w:style w:type="character" w:customStyle="1" w:styleId="ac">
    <w:name w:val="Текст сноски Знак"/>
    <w:basedOn w:val="a0"/>
    <w:link w:val="ad"/>
    <w:uiPriority w:val="99"/>
    <w:semiHidden/>
    <w:qFormat/>
    <w:rsid w:val="000275DE"/>
    <w:rPr>
      <w:sz w:val="20"/>
      <w:szCs w:val="20"/>
    </w:rPr>
  </w:style>
  <w:style w:type="character" w:customStyle="1" w:styleId="FootnoteCharacters">
    <w:name w:val="Footnote Characters"/>
    <w:uiPriority w:val="99"/>
    <w:unhideWhenUsed/>
    <w:qFormat/>
    <w:rsid w:val="000275DE"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styleId="af">
    <w:name w:val="Hyperlink"/>
    <w:basedOn w:val="a0"/>
    <w:uiPriority w:val="99"/>
    <w:unhideWhenUsed/>
    <w:rsid w:val="00C92DA4"/>
    <w:rPr>
      <w:color w:val="0563C1" w:themeColor="hyperlink"/>
      <w:u w:val="single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qFormat/>
    <w:rsid w:val="00292E4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292E43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92E43"/>
    <w:pPr>
      <w:widowControl w:val="0"/>
    </w:pPr>
    <w:rPr>
      <w:rFonts w:eastAsia="Times New Roman" w:cs="Calibri"/>
      <w:b/>
      <w:szCs w:val="20"/>
      <w:lang w:eastAsia="ru-RU"/>
    </w:rPr>
  </w:style>
  <w:style w:type="paragraph" w:styleId="30">
    <w:name w:val="Body Text 3"/>
    <w:basedOn w:val="a"/>
    <w:link w:val="3"/>
    <w:qFormat/>
    <w:rsid w:val="00C249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D422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9468E0"/>
    <w:pPr>
      <w:ind w:left="720"/>
      <w:contextualSpacing/>
    </w:pPr>
  </w:style>
  <w:style w:type="paragraph" w:styleId="a7">
    <w:name w:val="annotation text"/>
    <w:basedOn w:val="a"/>
    <w:link w:val="a6"/>
    <w:uiPriority w:val="99"/>
    <w:semiHidden/>
    <w:unhideWhenUsed/>
    <w:qFormat/>
    <w:rsid w:val="00FD4D13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FD4D13"/>
    <w:rPr>
      <w:b/>
      <w:bCs/>
    </w:rPr>
  </w:style>
  <w:style w:type="paragraph" w:styleId="af4">
    <w:name w:val="Normal (Web)"/>
    <w:basedOn w:val="a"/>
    <w:uiPriority w:val="99"/>
    <w:semiHidden/>
    <w:unhideWhenUsed/>
    <w:qFormat/>
    <w:rsid w:val="00743A5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uiPriority w:val="99"/>
    <w:semiHidden/>
    <w:qFormat/>
    <w:rsid w:val="00B7693C"/>
  </w:style>
  <w:style w:type="paragraph" w:styleId="ab">
    <w:name w:val="Body Text Indent"/>
    <w:basedOn w:val="a"/>
    <w:link w:val="aa"/>
    <w:uiPriority w:val="99"/>
    <w:semiHidden/>
    <w:unhideWhenUsed/>
    <w:rsid w:val="006C2D51"/>
    <w:pPr>
      <w:spacing w:after="120"/>
      <w:ind w:left="283"/>
    </w:pPr>
  </w:style>
  <w:style w:type="paragraph" w:styleId="ad">
    <w:name w:val="footnote text"/>
    <w:basedOn w:val="a"/>
    <w:link w:val="ac"/>
    <w:uiPriority w:val="99"/>
    <w:semiHidden/>
    <w:unhideWhenUsed/>
    <w:rsid w:val="000275DE"/>
    <w:pPr>
      <w:spacing w:after="0" w:line="240" w:lineRule="auto"/>
    </w:pPr>
    <w:rPr>
      <w:sz w:val="20"/>
      <w:szCs w:val="20"/>
    </w:rPr>
  </w:style>
  <w:style w:type="table" w:styleId="af6">
    <w:name w:val="Table Grid"/>
    <w:basedOn w:val="a1"/>
    <w:uiPriority w:val="39"/>
    <w:rsid w:val="00B91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етка 31"/>
    <w:basedOn w:val="a1"/>
    <w:uiPriority w:val="99"/>
    <w:rsid w:val="006C2D51"/>
    <w:rPr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styleId="-3">
    <w:name w:val="Grid Table 3"/>
    <w:basedOn w:val="a1"/>
    <w:uiPriority w:val="48"/>
    <w:rsid w:val="006C2D5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000000" w:themeColor="text1"/>
        </w:tcBorders>
      </w:tcPr>
    </w:tblStylePr>
    <w:tblStylePr w:type="nwCell">
      <w:tblPr/>
      <w:tcPr>
        <w:tcBorders>
          <w:bottom w:val="single" w:sz="4" w:space="0" w:color="000000" w:themeColor="text1"/>
        </w:tcBorders>
      </w:tcPr>
    </w:tblStylePr>
    <w:tblStylePr w:type="seCell">
      <w:tblPr/>
      <w:tcPr>
        <w:tcBorders>
          <w:top w:val="single" w:sz="4" w:space="0" w:color="000000" w:themeColor="text1"/>
        </w:tcBorders>
      </w:tcPr>
    </w:tblStylePr>
    <w:tblStylePr w:type="swCell">
      <w:tblPr/>
      <w:tcPr>
        <w:tcBorders>
          <w:top w:val="single" w:sz="4" w:space="0" w:color="000000" w:themeColor="text1"/>
        </w:tcBorders>
      </w:tcPr>
    </w:tblStylePr>
  </w:style>
  <w:style w:type="table" w:customStyle="1" w:styleId="1">
    <w:name w:val="Сетка таблицы1"/>
    <w:basedOn w:val="a1"/>
    <w:uiPriority w:val="39"/>
    <w:rsid w:val="005D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241&amp;dst=487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11241&amp;dst=487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12D4-2757-411E-91E6-5ABB601B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Кошелева Анна Александровна</dc:creator>
  <dc:description/>
  <cp:lastModifiedBy>Петрова Татьяна Игоревна</cp:lastModifiedBy>
  <cp:revision>2</cp:revision>
  <cp:lastPrinted>2021-04-09T04:01:00Z</cp:lastPrinted>
  <dcterms:created xsi:type="dcterms:W3CDTF">2025-09-08T09:20:00Z</dcterms:created>
  <dcterms:modified xsi:type="dcterms:W3CDTF">2025-09-08T09:20:00Z</dcterms:modified>
  <dc:language>ru-RU</dc:language>
</cp:coreProperties>
</file>